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施工单位：喀什宝地建设工程有限责任公司</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4" w:firstLineChars="200"/>
        <w:rPr>
          <w:rFonts w:hint="eastAsia" w:ascii="仿宋" w:hAnsi="仿宋" w:eastAsia="仿宋"/>
          <w:b/>
          <w:bCs/>
          <w:spacing w:val="-4"/>
          <w:sz w:val="32"/>
          <w:szCs w:val="32"/>
          <w:lang w:val="en-US" w:eastAsia="zh-CN"/>
        </w:rPr>
      </w:pPr>
      <w:r>
        <w:rPr>
          <w:rFonts w:hint="eastAsia" w:ascii="仿宋" w:hAnsi="仿宋" w:eastAsia="仿宋"/>
          <w:b/>
          <w:bCs/>
          <w:spacing w:val="-4"/>
          <w:sz w:val="32"/>
          <w:szCs w:val="32"/>
          <w:lang w:val="en-US" w:eastAsia="zh-CN"/>
        </w:rPr>
        <w:t xml:space="preserve"> </w:t>
      </w:r>
    </w:p>
    <w:p>
      <w:pPr>
        <w:adjustRightInd w:val="0"/>
        <w:snapToGrid w:val="0"/>
        <w:spacing w:line="560" w:lineRule="exact"/>
        <w:ind w:firstLine="624" w:firstLineChars="200"/>
        <w:rPr>
          <w:rFonts w:hint="eastAsia" w:ascii="Times" w:hAnsi="Times"/>
          <w:color w:val="000000"/>
          <w:spacing w:val="-2"/>
          <w:sz w:val="28"/>
          <w:szCs w:val="28"/>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本项目性质为新增项目。</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苏盖提乡皮力孜渡槽水毁维修工程</w:t>
      </w:r>
      <w:r>
        <w:rPr>
          <w:rStyle w:val="19"/>
          <w:rFonts w:hint="eastAsia" w:ascii="黑体" w:hAnsi="黑体" w:eastAsia="黑体"/>
          <w:b w:val="0"/>
          <w:spacing w:val="-4"/>
          <w:sz w:val="32"/>
          <w:szCs w:val="32"/>
          <w:lang w:val="en-US" w:eastAsia="zh-CN"/>
        </w:rPr>
        <w:t>1</w:t>
      </w:r>
      <w:r>
        <w:rPr>
          <w:rStyle w:val="19"/>
          <w:rFonts w:hint="eastAsia" w:ascii="黑体" w:hAnsi="黑体" w:eastAsia="黑体"/>
          <w:b w:val="0"/>
          <w:spacing w:val="-4"/>
          <w:sz w:val="32"/>
          <w:szCs w:val="32"/>
        </w:rPr>
        <w:t>个</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2018年中央特大防汛抗旱（第二批）补助资金为</w:t>
      </w:r>
      <w:r>
        <w:rPr>
          <w:rFonts w:hint="eastAsia" w:ascii="仿宋_GB2312" w:hAnsi="仿宋_GB2312" w:eastAsia="仿宋_GB2312" w:cs="仿宋_GB2312"/>
          <w:color w:val="000000"/>
          <w:spacing w:val="-2"/>
          <w:sz w:val="32"/>
          <w:szCs w:val="32"/>
          <w:lang w:val="en-US" w:eastAsia="zh-CN"/>
        </w:rPr>
        <w:t>10.49</w:t>
      </w:r>
      <w:r>
        <w:rPr>
          <w:rFonts w:hint="eastAsia" w:ascii="仿宋_GB2312" w:hAnsi="仿宋_GB2312" w:eastAsia="仿宋_GB2312" w:cs="仿宋_GB2312"/>
          <w:color w:val="000000"/>
          <w:spacing w:val="-2"/>
          <w:sz w:val="32"/>
          <w:szCs w:val="32"/>
        </w:rPr>
        <w:t>万元，其中财政资金</w:t>
      </w:r>
      <w:r>
        <w:rPr>
          <w:rFonts w:hint="eastAsia" w:ascii="仿宋_GB2312" w:hAnsi="仿宋_GB2312" w:eastAsia="仿宋_GB2312" w:cs="仿宋_GB2312"/>
          <w:color w:val="000000"/>
          <w:spacing w:val="-2"/>
          <w:sz w:val="32"/>
          <w:szCs w:val="32"/>
          <w:lang w:val="en-US" w:eastAsia="zh-CN"/>
        </w:rPr>
        <w:t>10.49</w:t>
      </w:r>
      <w:r>
        <w:rPr>
          <w:rFonts w:hint="eastAsia" w:ascii="仿宋_GB2312" w:hAnsi="仿宋_GB2312" w:eastAsia="仿宋_GB2312" w:cs="仿宋_GB2312"/>
          <w:color w:val="000000"/>
          <w:spacing w:val="-2"/>
          <w:sz w:val="32"/>
          <w:szCs w:val="32"/>
        </w:rPr>
        <w:t>万元，自筹资金</w:t>
      </w:r>
      <w:r>
        <w:rPr>
          <w:rFonts w:hint="eastAsia" w:ascii="仿宋_GB2312" w:hAnsi="仿宋_GB2312" w:eastAsia="仿宋_GB2312" w:cs="仿宋_GB2312"/>
          <w:color w:val="000000"/>
          <w:spacing w:val="-2"/>
          <w:sz w:val="32"/>
          <w:szCs w:val="32"/>
          <w:lang w:val="en-US" w:eastAsia="zh-CN"/>
        </w:rPr>
        <w:t>0</w:t>
      </w:r>
      <w:r>
        <w:rPr>
          <w:rFonts w:hint="eastAsia" w:ascii="仿宋_GB2312" w:hAnsi="仿宋_GB2312" w:eastAsia="仿宋_GB2312" w:cs="仿宋_GB2312"/>
          <w:color w:val="000000"/>
          <w:spacing w:val="-2"/>
          <w:sz w:val="32"/>
          <w:szCs w:val="32"/>
        </w:rPr>
        <w:t>万元，2018年实际收到预算资金</w:t>
      </w:r>
      <w:r>
        <w:rPr>
          <w:rFonts w:hint="eastAsia" w:ascii="仿宋_GB2312" w:hAnsi="仿宋_GB2312" w:eastAsia="仿宋_GB2312" w:cs="仿宋_GB2312"/>
          <w:color w:val="000000"/>
          <w:spacing w:val="-2"/>
          <w:sz w:val="32"/>
          <w:szCs w:val="32"/>
          <w:lang w:val="en-US" w:eastAsia="zh-CN"/>
        </w:rPr>
        <w:t>10.49</w:t>
      </w:r>
      <w:r>
        <w:rPr>
          <w:rFonts w:hint="eastAsia" w:ascii="仿宋_GB2312" w:hAnsi="仿宋_GB2312" w:eastAsia="仿宋_GB2312" w:cs="仿宋_GB2312"/>
          <w:color w:val="000000"/>
          <w:spacing w:val="-2"/>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主要分析项目资金使用明细情况，对各项支出进行明细说明。</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本项目实际支付资金</w:t>
      </w:r>
      <w:r>
        <w:rPr>
          <w:rFonts w:hint="eastAsia" w:ascii="仿宋_GB2312" w:hAnsi="仿宋_GB2312" w:eastAsia="仿宋_GB2312" w:cs="仿宋_GB2312"/>
          <w:color w:val="000000"/>
          <w:spacing w:val="-2"/>
          <w:sz w:val="32"/>
          <w:szCs w:val="32"/>
          <w:lang w:val="en-US" w:eastAsia="zh-CN"/>
        </w:rPr>
        <w:t>10.49</w:t>
      </w:r>
      <w:r>
        <w:rPr>
          <w:rFonts w:hint="eastAsia" w:ascii="仿宋_GB2312" w:hAnsi="仿宋_GB2312" w:eastAsia="仿宋_GB2312" w:cs="仿宋_GB2312"/>
          <w:color w:val="000000"/>
          <w:spacing w:val="-2"/>
          <w:sz w:val="32"/>
          <w:szCs w:val="32"/>
        </w:rPr>
        <w:t>万元，预算执行率</w:t>
      </w:r>
      <w:r>
        <w:rPr>
          <w:rFonts w:hint="eastAsia" w:ascii="仿宋_GB2312" w:hAnsi="仿宋_GB2312" w:eastAsia="仿宋_GB2312" w:cs="仿宋_GB2312"/>
          <w:color w:val="000000"/>
          <w:spacing w:val="-2"/>
          <w:sz w:val="32"/>
          <w:szCs w:val="32"/>
          <w:lang w:val="en-US" w:eastAsia="zh-CN"/>
        </w:rPr>
        <w:t>100</w:t>
      </w:r>
      <w:r>
        <w:rPr>
          <w:rFonts w:hint="eastAsia" w:ascii="仿宋_GB2312" w:hAnsi="仿宋_GB2312" w:eastAsia="仿宋_GB2312" w:cs="仿宋_GB2312"/>
          <w:color w:val="000000"/>
          <w:spacing w:val="-2"/>
          <w:sz w:val="32"/>
          <w:szCs w:val="32"/>
        </w:rPr>
        <w:t>%。项目资金主要用于支付</w:t>
      </w:r>
      <w:r>
        <w:rPr>
          <w:rFonts w:hint="eastAsia" w:ascii="仿宋_GB2312" w:hAnsi="仿宋_GB2312" w:eastAsia="仿宋_GB2312" w:cs="仿宋_GB2312"/>
          <w:color w:val="000000"/>
          <w:spacing w:val="-2"/>
          <w:sz w:val="32"/>
          <w:szCs w:val="32"/>
          <w:lang w:eastAsia="zh-CN"/>
        </w:rPr>
        <w:t>水资源规划设计</w:t>
      </w:r>
      <w:r>
        <w:rPr>
          <w:rFonts w:hint="eastAsia" w:ascii="仿宋_GB2312" w:hAnsi="仿宋_GB2312" w:eastAsia="仿宋_GB2312" w:cs="仿宋_GB2312"/>
          <w:color w:val="000000"/>
          <w:spacing w:val="-2"/>
          <w:sz w:val="32"/>
          <w:szCs w:val="32"/>
        </w:rPr>
        <w:t>费用</w:t>
      </w:r>
      <w:r>
        <w:rPr>
          <w:rFonts w:hint="eastAsia" w:ascii="仿宋_GB2312" w:hAnsi="仿宋_GB2312" w:eastAsia="仿宋_GB2312" w:cs="仿宋_GB2312"/>
          <w:color w:val="000000"/>
          <w:spacing w:val="-2"/>
          <w:sz w:val="32"/>
          <w:szCs w:val="32"/>
          <w:lang w:val="en-US" w:eastAsia="zh-CN"/>
        </w:rPr>
        <w:t>10.49</w:t>
      </w:r>
      <w:r>
        <w:rPr>
          <w:rFonts w:hint="eastAsia" w:ascii="仿宋_GB2312" w:hAnsi="仿宋_GB2312" w:eastAsia="仿宋_GB2312" w:cs="仿宋_GB2312"/>
          <w:color w:val="000000"/>
          <w:spacing w:val="-2"/>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该项目属于经常性零星项目,没有达到招投标限额,由本单位自行组织实施。实施过程均按照本单位制定的管理制度执行。本项目不存在调整情况。本项目不存在检查验收程序。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项目的实施遵守相关法律法规和业务管理规定，项目资料齐全并及时归档。不定期对项目进度情况进行督导检查，对检查过程中发现的问题及时督促整改，确保了项目按时保质完成。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本项目共设置一级指标</w:t>
      </w:r>
      <w:r>
        <w:rPr>
          <w:rFonts w:hint="eastAsia" w:ascii="仿宋_GB2312" w:hAnsi="仿宋_GB2312" w:eastAsia="仿宋_GB2312" w:cs="仿宋_GB2312"/>
          <w:color w:val="000000"/>
          <w:spacing w:val="-2"/>
          <w:sz w:val="32"/>
          <w:szCs w:val="32"/>
          <w:lang w:val="en-US" w:eastAsia="zh-CN"/>
        </w:rPr>
        <w:t>3</w:t>
      </w:r>
      <w:r>
        <w:rPr>
          <w:rFonts w:hint="eastAsia" w:ascii="仿宋_GB2312" w:hAnsi="仿宋_GB2312" w:eastAsia="仿宋_GB2312" w:cs="仿宋_GB2312"/>
          <w:color w:val="000000"/>
          <w:spacing w:val="-2"/>
          <w:sz w:val="32"/>
          <w:szCs w:val="32"/>
          <w:lang w:eastAsia="zh-CN"/>
        </w:rPr>
        <w:t>个，二级指标</w:t>
      </w:r>
      <w:r>
        <w:rPr>
          <w:rFonts w:hint="eastAsia" w:ascii="仿宋_GB2312" w:hAnsi="仿宋_GB2312" w:eastAsia="仿宋_GB2312" w:cs="仿宋_GB2312"/>
          <w:color w:val="000000"/>
          <w:spacing w:val="-2"/>
          <w:sz w:val="32"/>
          <w:szCs w:val="32"/>
          <w:lang w:val="en-US" w:eastAsia="zh-CN"/>
        </w:rPr>
        <w:t>9</w:t>
      </w:r>
      <w:r>
        <w:rPr>
          <w:rFonts w:hint="eastAsia" w:ascii="仿宋_GB2312" w:hAnsi="仿宋_GB2312" w:eastAsia="仿宋_GB2312" w:cs="仿宋_GB2312"/>
          <w:color w:val="000000"/>
          <w:spacing w:val="-2"/>
          <w:sz w:val="32"/>
          <w:szCs w:val="32"/>
          <w:lang w:eastAsia="zh-CN"/>
        </w:rPr>
        <w:t>个，三级指标</w:t>
      </w:r>
      <w:r>
        <w:rPr>
          <w:rFonts w:hint="eastAsia" w:ascii="仿宋_GB2312" w:hAnsi="仿宋_GB2312" w:eastAsia="仿宋_GB2312" w:cs="仿宋_GB2312"/>
          <w:color w:val="000000"/>
          <w:spacing w:val="-2"/>
          <w:sz w:val="32"/>
          <w:szCs w:val="32"/>
          <w:lang w:val="en-US" w:eastAsia="zh-CN"/>
        </w:rPr>
        <w:t>13</w:t>
      </w:r>
      <w:r>
        <w:rPr>
          <w:rFonts w:hint="eastAsia" w:ascii="仿宋_GB2312" w:hAnsi="仿宋_GB2312" w:eastAsia="仿宋_GB2312" w:cs="仿宋_GB2312"/>
          <w:color w:val="000000"/>
          <w:spacing w:val="-2"/>
          <w:sz w:val="32"/>
          <w:szCs w:val="32"/>
          <w:lang w:eastAsia="zh-CN"/>
        </w:rPr>
        <w:t>个，其中已完成三级指标</w:t>
      </w:r>
      <w:r>
        <w:rPr>
          <w:rFonts w:hint="eastAsia" w:ascii="仿宋_GB2312" w:hAnsi="仿宋_GB2312" w:eastAsia="仿宋_GB2312" w:cs="仿宋_GB2312"/>
          <w:color w:val="000000"/>
          <w:spacing w:val="-2"/>
          <w:sz w:val="32"/>
          <w:szCs w:val="32"/>
          <w:lang w:val="en-US" w:eastAsia="zh-CN"/>
        </w:rPr>
        <w:t>12</w:t>
      </w:r>
      <w:r>
        <w:rPr>
          <w:rFonts w:hint="eastAsia" w:ascii="仿宋_GB2312" w:hAnsi="仿宋_GB2312" w:eastAsia="仿宋_GB2312" w:cs="仿宋_GB2312"/>
          <w:color w:val="000000"/>
          <w:spacing w:val="-2"/>
          <w:sz w:val="32"/>
          <w:szCs w:val="32"/>
          <w:lang w:eastAsia="zh-CN"/>
        </w:rPr>
        <w:t>个，指标完成率为</w:t>
      </w:r>
      <w:r>
        <w:rPr>
          <w:rFonts w:hint="eastAsia" w:ascii="仿宋_GB2312" w:hAnsi="仿宋_GB2312" w:eastAsia="仿宋_GB2312" w:cs="仿宋_GB2312"/>
          <w:color w:val="000000"/>
          <w:spacing w:val="-2"/>
          <w:sz w:val="32"/>
          <w:szCs w:val="32"/>
          <w:lang w:val="en-US" w:eastAsia="zh-CN"/>
        </w:rPr>
        <w:t>98</w:t>
      </w:r>
      <w:r>
        <w:rPr>
          <w:rFonts w:hint="eastAsia" w:ascii="仿宋_GB2312" w:hAnsi="仿宋_GB2312" w:eastAsia="仿宋_GB2312" w:cs="仿宋_GB2312"/>
          <w:color w:val="000000"/>
          <w:spacing w:val="-2"/>
          <w:sz w:val="32"/>
          <w:szCs w:val="32"/>
          <w:lang w:eastAsia="zh-CN"/>
        </w:rPr>
        <w:t>%。</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经济性：主要根据项目实际情况和项目经济效益设置的指标进行综合分析，主要包括项目成本控制情况和项目成本节约情况。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效率性：主要通过对比分析项目的实施进度和完成质量。</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效益性：主要分析项目实施后对于经济和社会的影响。</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不存在未完成情况:“2018年本项目绩效目标全部达成，不存在未完成原因分析。”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32" w:firstLineChars="200"/>
        <w:outlineLvl w:val="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水资源综合利用规划报告由档案室存档；</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numPr>
          <w:ilvl w:val="0"/>
          <w:numId w:val="0"/>
        </w:numPr>
        <w:adjustRightInd w:val="0"/>
        <w:snapToGrid w:val="0"/>
        <w:spacing w:line="560" w:lineRule="exact"/>
        <w:ind w:firstLine="936" w:firstLineChars="3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专款专用；</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leftChars="200" w:firstLine="312" w:firstLineChars="1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无</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w:t>
      </w:r>
    </w:p>
    <w:p>
      <w:pPr>
        <w:numPr>
          <w:ilvl w:val="0"/>
          <w:numId w:val="0"/>
        </w:numPr>
        <w:adjustRightInd w:val="0"/>
        <w:snapToGrid w:val="0"/>
        <w:spacing w:line="560" w:lineRule="exact"/>
        <w:ind w:leftChars="200" w:firstLine="312" w:firstLineChars="1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本次评价通过文件研读、实地调研、数据分析等方式，全面了解水资源综合利用规划报告项目资金的使用效率和效果，项目管理过程是否规范，是否完成了预期绩效目标等。同时，通过开展自我评价来总结经验和教训，为喀什区水资源综合利用规划报告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rPr>
          <w:rFonts w:hint="eastAsia" w:ascii="仿宋" w:hAnsi="仿宋" w:eastAsia="仿宋"/>
          <w:sz w:val="32"/>
          <w:szCs w:val="32"/>
        </w:rPr>
      </w:pPr>
      <w:bookmarkStart w:id="0" w:name="_GoBack"/>
      <w:bookmarkEnd w:id="0"/>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rPr>
          <w:rFonts w:hint="eastAsia" w:ascii="仿宋" w:hAnsi="仿宋" w:eastAsia="仿宋"/>
          <w:sz w:val="32"/>
          <w:szCs w:val="32"/>
        </w:rPr>
      </w:pPr>
    </w:p>
    <w:p>
      <w:pPr>
        <w:adjustRightInd w:val="0"/>
        <w:snapToGrid w:val="0"/>
        <w:spacing w:line="560" w:lineRule="exact"/>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9"/>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4CBC7"/>
    <w:multiLevelType w:val="singleLevel"/>
    <w:tmpl w:val="ABF4CBC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25A1689"/>
    <w:rsid w:val="08A35187"/>
    <w:rsid w:val="314A3B75"/>
    <w:rsid w:val="372D7BA4"/>
    <w:rsid w:val="4B800081"/>
    <w:rsid w:val="747867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Normal Indent"/>
    <w:basedOn w:val="1"/>
    <w:uiPriority w:val="0"/>
    <w:pPr>
      <w:ind w:firstLine="420" w:firstLineChars="200"/>
    </w:pPr>
    <w:rPr>
      <w:rFonts w:ascii="Times New Roman" w:hAnsi="Times New Roman" w:eastAsia="宋体" w:cs="Times New Roman"/>
      <w:sz w:val="28"/>
      <w:szCs w:val="24"/>
    </w:rPr>
  </w:style>
  <w:style w:type="paragraph" w:styleId="12">
    <w:name w:val="Document Map"/>
    <w:basedOn w:val="1"/>
    <w:link w:val="47"/>
    <w:semiHidden/>
    <w:unhideWhenUsed/>
    <w:qFormat/>
    <w:uiPriority w:val="99"/>
    <w:rPr>
      <w:rFonts w:ascii="宋体"/>
      <w:sz w:val="18"/>
      <w:szCs w:val="18"/>
    </w:rPr>
  </w:style>
  <w:style w:type="paragraph" w:styleId="13">
    <w:name w:val="Balloon Text"/>
    <w:basedOn w:val="1"/>
    <w:link w:val="48"/>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8"/>
    <w:qFormat/>
    <w:uiPriority w:val="21"/>
    <w:rPr>
      <w:b/>
      <w:i/>
      <w:sz w:val="24"/>
      <w:szCs w:val="24"/>
      <w:u w:val="single"/>
    </w:rPr>
  </w:style>
  <w:style w:type="character" w:customStyle="1" w:styleId="41">
    <w:name w:val="Subtle Reference"/>
    <w:basedOn w:val="18"/>
    <w:qFormat/>
    <w:uiPriority w:val="31"/>
    <w:rPr>
      <w:sz w:val="24"/>
      <w:szCs w:val="24"/>
      <w:u w:val="single"/>
    </w:rPr>
  </w:style>
  <w:style w:type="character" w:customStyle="1" w:styleId="42">
    <w:name w:val="Intense Reference"/>
    <w:basedOn w:val="18"/>
    <w:qFormat/>
    <w:uiPriority w:val="32"/>
    <w:rPr>
      <w:b/>
      <w:sz w:val="24"/>
      <w:u w:val="single"/>
    </w:rPr>
  </w:style>
  <w:style w:type="character" w:customStyle="1" w:styleId="43">
    <w:name w:val="Book Title"/>
    <w:basedOn w:val="18"/>
    <w:qFormat/>
    <w:uiPriority w:val="33"/>
    <w:rPr>
      <w:rFonts w:asciiTheme="majorHAnsi" w:hAnsiTheme="majorHAnsi" w:eastAsiaTheme="majorEastAsia"/>
      <w:b/>
      <w:i/>
      <w:sz w:val="24"/>
      <w:szCs w:val="24"/>
    </w:rPr>
  </w:style>
  <w:style w:type="paragraph" w:customStyle="1" w:styleId="44">
    <w:name w:val="TOC Heading"/>
    <w:basedOn w:val="2"/>
    <w:next w:val="1"/>
    <w:semiHidden/>
    <w:unhideWhenUsed/>
    <w:qFormat/>
    <w:uiPriority w:val="39"/>
    <w:pPr>
      <w:outlineLvl w:val="9"/>
    </w:pPr>
    <w:rPr>
      <w:lang w:eastAsia="en-US" w:bidi="en-US"/>
    </w:rPr>
  </w:style>
  <w:style w:type="character" w:customStyle="1" w:styleId="45">
    <w:name w:val="页眉 Char"/>
    <w:basedOn w:val="18"/>
    <w:link w:val="15"/>
    <w:qFormat/>
    <w:uiPriority w:val="99"/>
    <w:rPr>
      <w:rFonts w:ascii="Calibri" w:hAnsi="Calibri" w:eastAsia="宋体"/>
      <w:kern w:val="2"/>
      <w:sz w:val="18"/>
      <w:szCs w:val="18"/>
    </w:rPr>
  </w:style>
  <w:style w:type="character" w:customStyle="1" w:styleId="46">
    <w:name w:val="页脚 Char"/>
    <w:basedOn w:val="18"/>
    <w:link w:val="14"/>
    <w:qFormat/>
    <w:uiPriority w:val="99"/>
    <w:rPr>
      <w:rFonts w:ascii="Calibri" w:hAnsi="Calibri" w:eastAsia="宋体"/>
      <w:kern w:val="2"/>
      <w:sz w:val="18"/>
      <w:szCs w:val="18"/>
    </w:rPr>
  </w:style>
  <w:style w:type="character" w:customStyle="1" w:styleId="47">
    <w:name w:val="文档结构图 Char"/>
    <w:basedOn w:val="18"/>
    <w:link w:val="12"/>
    <w:semiHidden/>
    <w:qFormat/>
    <w:uiPriority w:val="99"/>
    <w:rPr>
      <w:rFonts w:ascii="宋体" w:hAnsi="Times New Roman" w:eastAsia="宋体"/>
      <w:kern w:val="2"/>
      <w:sz w:val="18"/>
      <w:szCs w:val="18"/>
    </w:rPr>
  </w:style>
  <w:style w:type="character" w:customStyle="1" w:styleId="48">
    <w:name w:val="批注框文本 Char"/>
    <w:basedOn w:val="18"/>
    <w:link w:val="1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3</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2019-01-29T11:43:22Z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